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ind w:firstLine="4568" w:firstLineChars="350"/>
        <w:rPr>
          <w:rFonts w:eastAsia="华文中宋"/>
          <w:b/>
          <w:sz w:val="130"/>
          <w:szCs w:val="130"/>
        </w:rPr>
      </w:pPr>
      <w:r>
        <w:rPr>
          <w:rFonts w:eastAsia="华文中宋"/>
          <w:b/>
          <w:sz w:val="130"/>
          <w:szCs w:val="130"/>
        </w:rPr>
        <w:t>DB31</w:t>
      </w:r>
    </w:p>
    <w:p>
      <w:pPr>
        <w:adjustRightInd w:val="0"/>
        <w:snapToGrid w:val="0"/>
        <w:spacing w:line="600" w:lineRule="atLeast"/>
        <w:ind w:left="210" w:leftChars="100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上    海   市   地   方   标   准</w:t>
      </w:r>
    </w:p>
    <w:p>
      <w:pPr>
        <w:adjustRightInd w:val="0"/>
        <w:snapToGrid w:val="0"/>
        <w:spacing w:line="600" w:lineRule="atLeast"/>
        <w:ind w:left="210" w:leftChars="100"/>
        <w:jc w:val="righ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DB31/T501-2010</w:t>
      </w:r>
    </w:p>
    <w:p>
      <w:pPr>
        <w:adjustRightInd w:val="0"/>
        <w:snapToGrid w:val="0"/>
        <w:spacing w:line="600" w:lineRule="atLeast"/>
        <w:ind w:firstLine="1980" w:firstLineChars="450"/>
        <w:rPr>
          <w:rFonts w:hint="eastAsia" w:ascii="宋体" w:hAnsi="宋体"/>
          <w:sz w:val="44"/>
          <w:szCs w:val="44"/>
        </w:rPr>
      </w:pPr>
    </w:p>
    <w:p>
      <w:pPr>
        <w:adjustRightInd w:val="0"/>
        <w:snapToGrid w:val="0"/>
        <w:spacing w:line="600" w:lineRule="atLeast"/>
        <w:ind w:firstLine="1980" w:firstLineChars="450"/>
        <w:rPr>
          <w:rFonts w:hint="eastAsia" w:ascii="宋体" w:hAnsi="宋体"/>
          <w:sz w:val="44"/>
          <w:szCs w:val="44"/>
        </w:rPr>
      </w:pPr>
    </w:p>
    <w:p>
      <w:pPr>
        <w:adjustRightInd w:val="0"/>
        <w:snapToGrid w:val="0"/>
        <w:spacing w:line="600" w:lineRule="atLeast"/>
        <w:ind w:firstLine="1980" w:firstLineChars="450"/>
        <w:rPr>
          <w:rFonts w:hint="eastAsia" w:ascii="宋体" w:hAnsi="宋体"/>
          <w:sz w:val="44"/>
          <w:szCs w:val="44"/>
        </w:rPr>
      </w:pPr>
    </w:p>
    <w:p>
      <w:pPr>
        <w:adjustRightInd w:val="0"/>
        <w:snapToGrid w:val="0"/>
        <w:spacing w:line="600" w:lineRule="atLeast"/>
        <w:ind w:firstLine="1980" w:firstLineChars="450"/>
        <w:rPr>
          <w:rFonts w:hint="eastAsia" w:ascii="宋体" w:hAnsi="宋体"/>
          <w:sz w:val="44"/>
          <w:szCs w:val="44"/>
        </w:rPr>
      </w:pPr>
      <w:bookmarkStart w:id="36" w:name="_GoBack"/>
      <w:bookmarkEnd w:id="36"/>
    </w:p>
    <w:p>
      <w:pPr>
        <w:adjustRightInd w:val="0"/>
        <w:snapToGrid w:val="0"/>
        <w:spacing w:line="600" w:lineRule="atLeast"/>
        <w:ind w:firstLine="2340" w:firstLineChars="450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殡葬代理服务规范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Service Stand </w:t>
      </w:r>
      <w:r>
        <w:rPr>
          <w:sz w:val="30"/>
          <w:szCs w:val="30"/>
        </w:rPr>
        <w:t>on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the</w:t>
      </w:r>
      <w:r>
        <w:rPr>
          <w:rFonts w:hint="eastAsia"/>
          <w:sz w:val="30"/>
          <w:szCs w:val="30"/>
        </w:rPr>
        <w:t xml:space="preserve"> Funeral Agency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2010-11-01发布                           2011-01-01</w:t>
      </w:r>
    </w:p>
    <w:p>
      <w:pPr>
        <w:ind w:firstLine="3680" w:firstLineChars="1150"/>
        <w:rPr>
          <w:rFonts w:hint="eastAsia"/>
          <w:sz w:val="32"/>
          <w:szCs w:val="32"/>
        </w:rPr>
      </w:pPr>
    </w:p>
    <w:p>
      <w:pPr>
        <w:ind w:firstLine="1680" w:firstLineChars="6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上海市质量技术监督局    发布</w:t>
      </w:r>
    </w:p>
    <w:p>
      <w:pPr>
        <w:ind w:firstLine="3080" w:firstLineChars="700"/>
        <w:rPr>
          <w:rFonts w:hint="eastAsia" w:ascii="黑体" w:hAnsi="黑体" w:eastAsia="黑体"/>
          <w:sz w:val="44"/>
          <w:szCs w:val="44"/>
        </w:rPr>
      </w:pPr>
    </w:p>
    <w:p>
      <w:pPr>
        <w:ind w:firstLine="3080" w:firstLineChars="7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目</w:t>
      </w:r>
      <w:bookmarkStart w:id="0" w:name="BKML"/>
      <w:r>
        <w:rPr>
          <w:rFonts w:asciiTheme="majorEastAsia" w:eastAsiaTheme="majorEastAsia"/>
          <w:sz w:val="44"/>
          <w:szCs w:val="44"/>
        </w:rPr>
        <w:t>  </w:t>
      </w:r>
      <w:r>
        <w:rPr>
          <w:rFonts w:hint="eastAsia" w:asciiTheme="majorEastAsia" w:hAnsiTheme="majorEastAsia" w:eastAsiaTheme="majorEastAsia"/>
          <w:sz w:val="44"/>
          <w:szCs w:val="44"/>
        </w:rPr>
        <w:t>次</w:t>
      </w:r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前言</w:t>
      </w:r>
      <w:r>
        <w:rPr>
          <w:rFonts w:ascii="黑体" w:hAnsi="黑体" w:eastAsia="黑体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 w:fldLock="1"/>
      </w:r>
      <w:r>
        <w:rPr>
          <w:rFonts w:ascii="仿宋" w:hAnsi="仿宋" w:eastAsia="仿宋"/>
          <w:sz w:val="32"/>
          <w:szCs w:val="32"/>
        </w:rPr>
        <w:instrText xml:space="preserve"> TOC \h \z \t"前言、引言标题,1,参考文献、索引标题,1,章标题,1,参考文献,1,附录标识,1" \* MERGEFORMAT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"_Toc285717412" </w:instrText>
      </w:r>
      <w:r>
        <w:fldChar w:fldCharType="separate"/>
      </w:r>
      <w:r>
        <w:rPr>
          <w:rStyle w:val="7"/>
          <w:rFonts w:ascii="黑体" w:hAnsi="黑体" w:eastAsia="黑体"/>
          <w:sz w:val="32"/>
          <w:szCs w:val="32"/>
        </w:rPr>
        <w:t>1</w:t>
      </w:r>
      <w:r>
        <w:rPr>
          <w:rStyle w:val="7"/>
          <w:rFonts w:hint="eastAsia" w:ascii="黑体" w:hAnsi="黑体" w:eastAsia="黑体"/>
          <w:sz w:val="32"/>
          <w:szCs w:val="32"/>
        </w:rPr>
        <w:t>　范围</w:t>
      </w:r>
      <w:r>
        <w:rPr>
          <w:rStyle w:val="7"/>
          <w:rFonts w:hint="eastAsia" w:ascii="黑体" w:hAnsi="黑体" w:eastAsia="黑体"/>
          <w:sz w:val="32"/>
          <w:szCs w:val="32"/>
        </w:rPr>
        <w:fldChar w:fldCharType="end"/>
      </w:r>
    </w:p>
    <w:p>
      <w:pPr>
        <w:rPr>
          <w:rFonts w:ascii="黑体" w:hAnsi="黑体" w:eastAsia="黑体"/>
          <w:sz w:val="32"/>
          <w:szCs w:val="32"/>
        </w:rPr>
      </w:pPr>
      <w:r>
        <w:fldChar w:fldCharType="begin"/>
      </w:r>
      <w:r>
        <w:instrText xml:space="preserve"> HYPERLINK \l "_Toc285717413" </w:instrText>
      </w:r>
      <w:r>
        <w:fldChar w:fldCharType="separate"/>
      </w:r>
      <w:r>
        <w:rPr>
          <w:rStyle w:val="7"/>
          <w:rFonts w:ascii="黑体" w:hAnsi="黑体" w:eastAsia="黑体"/>
          <w:sz w:val="32"/>
          <w:szCs w:val="32"/>
        </w:rPr>
        <w:t>2</w:t>
      </w:r>
      <w:r>
        <w:rPr>
          <w:rStyle w:val="7"/>
          <w:rFonts w:hint="eastAsia" w:ascii="黑体" w:hAnsi="黑体" w:eastAsia="黑体"/>
          <w:sz w:val="32"/>
          <w:szCs w:val="32"/>
        </w:rPr>
        <w:t>　规范性引用文件</w:t>
      </w:r>
      <w:r>
        <w:rPr>
          <w:rStyle w:val="7"/>
          <w:rFonts w:ascii="黑体" w:hAnsi="黑体" w:eastAsia="黑体"/>
          <w:sz w:val="32"/>
          <w:szCs w:val="32"/>
        </w:rPr>
        <w:tab/>
      </w:r>
      <w:r>
        <w:rPr>
          <w:rStyle w:val="7"/>
          <w:rFonts w:ascii="黑体" w:hAnsi="黑体" w:eastAsia="黑体"/>
          <w:sz w:val="32"/>
          <w:szCs w:val="32"/>
        </w:rPr>
        <w:fldChar w:fldCharType="end"/>
      </w:r>
    </w:p>
    <w:p>
      <w:pPr>
        <w:rPr>
          <w:rFonts w:ascii="黑体" w:hAnsi="黑体" w:eastAsia="黑体"/>
          <w:sz w:val="32"/>
          <w:szCs w:val="32"/>
        </w:rPr>
      </w:pPr>
      <w:r>
        <w:fldChar w:fldCharType="begin"/>
      </w:r>
      <w:r>
        <w:instrText xml:space="preserve"> HYPERLINK \l "_Toc285717414" </w:instrText>
      </w:r>
      <w:r>
        <w:fldChar w:fldCharType="separate"/>
      </w:r>
      <w:r>
        <w:rPr>
          <w:rStyle w:val="7"/>
          <w:rFonts w:ascii="黑体" w:hAnsi="黑体" w:eastAsia="黑体"/>
          <w:sz w:val="32"/>
          <w:szCs w:val="32"/>
        </w:rPr>
        <w:t>3</w:t>
      </w:r>
      <w:r>
        <w:rPr>
          <w:rStyle w:val="7"/>
          <w:rFonts w:hint="eastAsia" w:ascii="黑体" w:hAnsi="黑体" w:eastAsia="黑体"/>
          <w:sz w:val="32"/>
          <w:szCs w:val="32"/>
        </w:rPr>
        <w:t xml:space="preserve">  术语和定义</w:t>
      </w:r>
      <w:r>
        <w:rPr>
          <w:rStyle w:val="7"/>
          <w:rFonts w:ascii="黑体" w:hAnsi="黑体" w:eastAsia="黑体"/>
          <w:sz w:val="32"/>
          <w:szCs w:val="32"/>
        </w:rPr>
        <w:tab/>
      </w:r>
      <w:r>
        <w:rPr>
          <w:rStyle w:val="7"/>
          <w:rFonts w:ascii="黑体" w:hAnsi="黑体" w:eastAsia="黑体"/>
          <w:sz w:val="32"/>
          <w:szCs w:val="32"/>
        </w:rPr>
        <w:fldChar w:fldCharType="end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TOC \o "1-3" \h \z \u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"_Toc275522488" </w:instrText>
      </w:r>
      <w:r>
        <w:fldChar w:fldCharType="separate"/>
      </w:r>
      <w:r>
        <w:rPr>
          <w:rStyle w:val="7"/>
          <w:rFonts w:ascii="仿宋" w:hAnsi="仿宋" w:eastAsia="仿宋"/>
          <w:sz w:val="32"/>
          <w:szCs w:val="32"/>
        </w:rPr>
        <w:t xml:space="preserve">3.1  </w:t>
      </w:r>
      <w:r>
        <w:rPr>
          <w:rStyle w:val="7"/>
          <w:rFonts w:hint="eastAsia" w:ascii="仿宋" w:hAnsi="仿宋" w:eastAsia="仿宋"/>
          <w:sz w:val="32"/>
          <w:szCs w:val="32"/>
        </w:rPr>
        <w:t>殡葬代理服务</w:t>
      </w:r>
      <w:r>
        <w:rPr>
          <w:rStyle w:val="7"/>
          <w:rFonts w:ascii="仿宋" w:hAnsi="仿宋" w:eastAsia="仿宋"/>
          <w:sz w:val="32"/>
          <w:szCs w:val="32"/>
        </w:rPr>
        <w:tab/>
      </w:r>
      <w:r>
        <w:rPr>
          <w:rStyle w:val="7"/>
          <w:rFonts w:ascii="仿宋" w:hAnsi="仿宋" w:eastAsia="仿宋"/>
          <w:sz w:val="32"/>
          <w:szCs w:val="32"/>
        </w:rPr>
        <w:fldChar w:fldCharType="end"/>
      </w:r>
    </w:p>
    <w:p>
      <w:pPr>
        <w:rPr>
          <w:rFonts w:ascii="黑体" w:hAnsi="黑体" w:eastAsia="黑体"/>
          <w:sz w:val="32"/>
          <w:szCs w:val="32"/>
        </w:rPr>
      </w:pPr>
      <w:r>
        <w:fldChar w:fldCharType="begin"/>
      </w:r>
      <w:r>
        <w:instrText xml:space="preserve"> HYPERLINK \l "_Toc275522489" </w:instrText>
      </w:r>
      <w:r>
        <w:fldChar w:fldCharType="separate"/>
      </w:r>
      <w:r>
        <w:rPr>
          <w:rStyle w:val="7"/>
          <w:rFonts w:ascii="黑体" w:hAnsi="黑体" w:eastAsia="黑体"/>
          <w:sz w:val="32"/>
          <w:szCs w:val="32"/>
        </w:rPr>
        <w:t xml:space="preserve">4   </w:t>
      </w:r>
      <w:r>
        <w:rPr>
          <w:rStyle w:val="7"/>
          <w:rFonts w:hint="eastAsia" w:ascii="黑体" w:hAnsi="黑体" w:eastAsia="黑体"/>
          <w:sz w:val="32"/>
          <w:szCs w:val="32"/>
        </w:rPr>
        <w:t>基本要求</w:t>
      </w:r>
      <w:r>
        <w:rPr>
          <w:rStyle w:val="7"/>
          <w:rFonts w:ascii="黑体" w:hAnsi="黑体" w:eastAsia="黑体"/>
          <w:sz w:val="32"/>
          <w:szCs w:val="32"/>
        </w:rPr>
        <w:tab/>
      </w:r>
      <w:r>
        <w:rPr>
          <w:rStyle w:val="7"/>
          <w:rFonts w:ascii="黑体" w:hAnsi="黑体" w:eastAsia="黑体"/>
          <w:sz w:val="32"/>
          <w:szCs w:val="32"/>
        </w:rPr>
        <w:fldChar w:fldCharType="end"/>
      </w:r>
    </w:p>
    <w:p>
      <w:pPr>
        <w:rPr>
          <w:rFonts w:ascii="仿宋" w:hAnsi="仿宋" w:eastAsia="仿宋"/>
          <w:sz w:val="32"/>
          <w:szCs w:val="32"/>
        </w:rPr>
      </w:pPr>
      <w:r>
        <w:fldChar w:fldCharType="begin"/>
      </w:r>
      <w:r>
        <w:instrText xml:space="preserve"> HYPERLINK \l "_Toc275522490" </w:instrText>
      </w:r>
      <w:r>
        <w:fldChar w:fldCharType="separate"/>
      </w:r>
      <w:r>
        <w:rPr>
          <w:rStyle w:val="7"/>
          <w:rFonts w:ascii="仿宋" w:hAnsi="仿宋" w:eastAsia="仿宋"/>
          <w:sz w:val="32"/>
          <w:szCs w:val="32"/>
        </w:rPr>
        <w:t xml:space="preserve">4.1  </w:t>
      </w:r>
      <w:r>
        <w:rPr>
          <w:rStyle w:val="7"/>
          <w:rFonts w:hint="eastAsia" w:ascii="仿宋" w:hAnsi="仿宋" w:eastAsia="仿宋"/>
          <w:sz w:val="32"/>
          <w:szCs w:val="32"/>
        </w:rPr>
        <w:t>开业资质要求</w:t>
      </w:r>
      <w:r>
        <w:rPr>
          <w:rStyle w:val="7"/>
          <w:rFonts w:ascii="仿宋" w:hAnsi="仿宋" w:eastAsia="仿宋"/>
          <w:sz w:val="32"/>
          <w:szCs w:val="32"/>
        </w:rPr>
        <w:tab/>
      </w:r>
      <w:r>
        <w:rPr>
          <w:rStyle w:val="7"/>
          <w:rFonts w:ascii="仿宋" w:hAnsi="仿宋" w:eastAsia="仿宋"/>
          <w:sz w:val="32"/>
          <w:szCs w:val="32"/>
        </w:rPr>
        <w:fldChar w:fldCharType="end"/>
      </w:r>
    </w:p>
    <w:p>
      <w:pPr>
        <w:rPr>
          <w:rFonts w:ascii="仿宋" w:hAnsi="仿宋" w:eastAsia="仿宋"/>
          <w:sz w:val="32"/>
          <w:szCs w:val="32"/>
        </w:rPr>
      </w:pPr>
      <w:r>
        <w:fldChar w:fldCharType="begin"/>
      </w:r>
      <w:r>
        <w:instrText xml:space="preserve"> HYPERLINK \l "_Toc275522491" </w:instrText>
      </w:r>
      <w:r>
        <w:fldChar w:fldCharType="separate"/>
      </w:r>
      <w:r>
        <w:rPr>
          <w:rStyle w:val="7"/>
          <w:rFonts w:ascii="仿宋" w:hAnsi="仿宋" w:eastAsia="仿宋"/>
          <w:sz w:val="32"/>
          <w:szCs w:val="32"/>
        </w:rPr>
        <w:t xml:space="preserve">4.2  </w:t>
      </w:r>
      <w:r>
        <w:rPr>
          <w:rStyle w:val="7"/>
          <w:rFonts w:hint="eastAsia" w:ascii="仿宋" w:hAnsi="仿宋" w:eastAsia="仿宋"/>
          <w:sz w:val="32"/>
          <w:szCs w:val="32"/>
        </w:rPr>
        <w:t>人员资质要求</w:t>
      </w:r>
      <w:r>
        <w:rPr>
          <w:rStyle w:val="7"/>
          <w:rFonts w:ascii="仿宋" w:hAnsi="仿宋" w:eastAsia="仿宋"/>
          <w:sz w:val="32"/>
          <w:szCs w:val="32"/>
        </w:rPr>
        <w:tab/>
      </w:r>
      <w:r>
        <w:rPr>
          <w:rStyle w:val="7"/>
          <w:rFonts w:ascii="仿宋" w:hAnsi="仿宋" w:eastAsia="仿宋"/>
          <w:sz w:val="32"/>
          <w:szCs w:val="32"/>
        </w:rPr>
        <w:fldChar w:fldCharType="end"/>
      </w:r>
    </w:p>
    <w:p>
      <w:pPr>
        <w:rPr>
          <w:rFonts w:ascii="黑体" w:hAnsi="黑体" w:eastAsia="黑体"/>
          <w:sz w:val="32"/>
          <w:szCs w:val="32"/>
        </w:rPr>
      </w:pPr>
      <w:r>
        <w:fldChar w:fldCharType="begin"/>
      </w:r>
      <w:r>
        <w:instrText xml:space="preserve"> HYPERLINK \l "_Toc275522492" </w:instrText>
      </w:r>
      <w:r>
        <w:fldChar w:fldCharType="separate"/>
      </w:r>
      <w:r>
        <w:rPr>
          <w:rStyle w:val="7"/>
          <w:rFonts w:ascii="黑体" w:hAnsi="黑体" w:eastAsia="黑体"/>
          <w:sz w:val="32"/>
          <w:szCs w:val="32"/>
        </w:rPr>
        <w:t xml:space="preserve">5  </w:t>
      </w:r>
      <w:r>
        <w:rPr>
          <w:rStyle w:val="7"/>
          <w:rFonts w:hint="eastAsia" w:ascii="黑体" w:hAnsi="黑体" w:eastAsia="黑体"/>
          <w:sz w:val="32"/>
          <w:szCs w:val="32"/>
        </w:rPr>
        <w:t>服务要求</w:t>
      </w:r>
      <w:r>
        <w:rPr>
          <w:rStyle w:val="7"/>
          <w:rFonts w:ascii="黑体" w:hAnsi="黑体" w:eastAsia="黑体"/>
          <w:sz w:val="32"/>
          <w:szCs w:val="32"/>
        </w:rPr>
        <w:tab/>
      </w:r>
      <w:r>
        <w:rPr>
          <w:rStyle w:val="7"/>
          <w:rFonts w:ascii="黑体" w:hAnsi="黑体" w:eastAsia="黑体"/>
          <w:sz w:val="32"/>
          <w:szCs w:val="32"/>
        </w:rPr>
        <w:fldChar w:fldCharType="end"/>
      </w:r>
    </w:p>
    <w:p>
      <w:pPr>
        <w:rPr>
          <w:rFonts w:ascii="仿宋" w:hAnsi="仿宋" w:eastAsia="仿宋"/>
          <w:sz w:val="32"/>
          <w:szCs w:val="32"/>
        </w:rPr>
      </w:pPr>
      <w:r>
        <w:fldChar w:fldCharType="begin"/>
      </w:r>
      <w:r>
        <w:instrText xml:space="preserve"> HYPERLINK \l "_Toc275522493" </w:instrText>
      </w:r>
      <w:r>
        <w:fldChar w:fldCharType="separate"/>
      </w:r>
      <w:r>
        <w:rPr>
          <w:rStyle w:val="7"/>
          <w:rFonts w:ascii="仿宋" w:hAnsi="仿宋" w:eastAsia="仿宋"/>
          <w:sz w:val="32"/>
          <w:szCs w:val="32"/>
        </w:rPr>
        <w:t xml:space="preserve">5.1  </w:t>
      </w:r>
      <w:r>
        <w:rPr>
          <w:rStyle w:val="7"/>
          <w:rFonts w:hint="eastAsia" w:ascii="仿宋" w:hAnsi="仿宋" w:eastAsia="仿宋"/>
          <w:sz w:val="32"/>
          <w:szCs w:val="32"/>
        </w:rPr>
        <w:t>服务基本要求</w:t>
      </w:r>
      <w:r>
        <w:rPr>
          <w:rStyle w:val="7"/>
          <w:rFonts w:ascii="仿宋" w:hAnsi="仿宋" w:eastAsia="仿宋"/>
          <w:sz w:val="32"/>
          <w:szCs w:val="32"/>
        </w:rPr>
        <w:tab/>
      </w:r>
      <w:r>
        <w:rPr>
          <w:rStyle w:val="7"/>
          <w:rFonts w:ascii="仿宋" w:hAnsi="仿宋" w:eastAsia="仿宋"/>
          <w:sz w:val="32"/>
          <w:szCs w:val="32"/>
        </w:rPr>
        <w:fldChar w:fldCharType="end"/>
      </w:r>
    </w:p>
    <w:p>
      <w:pPr>
        <w:rPr>
          <w:rFonts w:ascii="仿宋" w:hAnsi="仿宋" w:eastAsia="仿宋"/>
          <w:sz w:val="32"/>
          <w:szCs w:val="32"/>
        </w:rPr>
      </w:pPr>
      <w:r>
        <w:fldChar w:fldCharType="begin"/>
      </w:r>
      <w:r>
        <w:instrText xml:space="preserve"> HYPERLINK \l "_Toc275522494" </w:instrText>
      </w:r>
      <w:r>
        <w:fldChar w:fldCharType="separate"/>
      </w:r>
      <w:r>
        <w:rPr>
          <w:rStyle w:val="7"/>
          <w:rFonts w:ascii="仿宋" w:hAnsi="仿宋" w:eastAsia="仿宋"/>
          <w:sz w:val="32"/>
          <w:szCs w:val="32"/>
        </w:rPr>
        <w:t xml:space="preserve">5.2 </w:t>
      </w:r>
      <w:r>
        <w:rPr>
          <w:rStyle w:val="7"/>
          <w:rFonts w:hint="eastAsia" w:ascii="仿宋" w:hAnsi="仿宋" w:eastAsia="仿宋"/>
          <w:sz w:val="32"/>
          <w:szCs w:val="32"/>
        </w:rPr>
        <w:t>从业人员服务要求</w:t>
      </w:r>
      <w:r>
        <w:rPr>
          <w:rStyle w:val="7"/>
          <w:rFonts w:ascii="仿宋" w:hAnsi="仿宋" w:eastAsia="仿宋"/>
          <w:sz w:val="32"/>
          <w:szCs w:val="32"/>
        </w:rPr>
        <w:tab/>
      </w:r>
      <w:r>
        <w:rPr>
          <w:rStyle w:val="7"/>
          <w:rFonts w:ascii="仿宋" w:hAnsi="仿宋" w:eastAsia="仿宋"/>
          <w:sz w:val="32"/>
          <w:szCs w:val="32"/>
        </w:rPr>
        <w:fldChar w:fldCharType="end"/>
      </w:r>
    </w:p>
    <w:p>
      <w:pPr>
        <w:rPr>
          <w:rFonts w:ascii="仿宋" w:hAnsi="仿宋" w:eastAsia="仿宋"/>
          <w:sz w:val="32"/>
          <w:szCs w:val="32"/>
        </w:rPr>
      </w:pPr>
      <w:r>
        <w:fldChar w:fldCharType="begin"/>
      </w:r>
      <w:r>
        <w:instrText xml:space="preserve"> HYPERLINK \l "_Toc275522495" </w:instrText>
      </w:r>
      <w:r>
        <w:fldChar w:fldCharType="separate"/>
      </w:r>
      <w:r>
        <w:rPr>
          <w:rStyle w:val="7"/>
          <w:rFonts w:ascii="仿宋" w:hAnsi="仿宋" w:eastAsia="仿宋"/>
          <w:sz w:val="32"/>
          <w:szCs w:val="32"/>
        </w:rPr>
        <w:t xml:space="preserve">5.3  </w:t>
      </w:r>
      <w:r>
        <w:rPr>
          <w:rStyle w:val="7"/>
          <w:rFonts w:hint="eastAsia" w:ascii="仿宋" w:hAnsi="仿宋" w:eastAsia="仿宋"/>
          <w:sz w:val="32"/>
          <w:szCs w:val="32"/>
        </w:rPr>
        <w:t>殡葬服务代理单位服务要求</w:t>
      </w:r>
      <w:r>
        <w:rPr>
          <w:rStyle w:val="7"/>
          <w:rFonts w:ascii="仿宋" w:hAnsi="仿宋" w:eastAsia="仿宋"/>
          <w:sz w:val="32"/>
          <w:szCs w:val="32"/>
        </w:rPr>
        <w:tab/>
      </w:r>
      <w:r>
        <w:rPr>
          <w:rStyle w:val="7"/>
          <w:rFonts w:ascii="仿宋" w:hAnsi="仿宋" w:eastAsia="仿宋"/>
          <w:sz w:val="32"/>
          <w:szCs w:val="32"/>
        </w:rPr>
        <w:fldChar w:fldCharType="end"/>
      </w:r>
    </w:p>
    <w:p>
      <w:pPr>
        <w:rPr>
          <w:rFonts w:ascii="黑体" w:hAnsi="黑体" w:eastAsia="黑体"/>
          <w:sz w:val="32"/>
          <w:szCs w:val="32"/>
        </w:rPr>
      </w:pPr>
      <w:r>
        <w:fldChar w:fldCharType="begin"/>
      </w:r>
      <w:r>
        <w:instrText xml:space="preserve"> HYPERLINK \l "_Toc275522496" </w:instrText>
      </w:r>
      <w:r>
        <w:fldChar w:fldCharType="separate"/>
      </w:r>
      <w:r>
        <w:rPr>
          <w:rStyle w:val="7"/>
          <w:rFonts w:ascii="黑体" w:hAnsi="黑体" w:eastAsia="黑体"/>
          <w:sz w:val="32"/>
          <w:szCs w:val="32"/>
        </w:rPr>
        <w:t xml:space="preserve">6  </w:t>
      </w:r>
      <w:r>
        <w:rPr>
          <w:rStyle w:val="7"/>
          <w:rFonts w:hint="eastAsia" w:ascii="黑体" w:hAnsi="黑体" w:eastAsia="黑体"/>
          <w:sz w:val="32"/>
          <w:szCs w:val="32"/>
        </w:rPr>
        <w:t>殡葬代理服务内容</w:t>
      </w:r>
      <w:r>
        <w:rPr>
          <w:rStyle w:val="7"/>
          <w:rFonts w:ascii="黑体" w:hAnsi="黑体" w:eastAsia="黑体"/>
          <w:sz w:val="32"/>
          <w:szCs w:val="32"/>
        </w:rPr>
        <w:tab/>
      </w:r>
      <w:r>
        <w:rPr>
          <w:rStyle w:val="7"/>
          <w:rFonts w:ascii="黑体" w:hAnsi="黑体" w:eastAsia="黑体"/>
          <w:sz w:val="32"/>
          <w:szCs w:val="32"/>
        </w:rPr>
        <w:fldChar w:fldCharType="end"/>
      </w:r>
    </w:p>
    <w:p>
      <w:pPr>
        <w:rPr>
          <w:rFonts w:ascii="仿宋" w:hAnsi="仿宋" w:eastAsia="仿宋"/>
          <w:sz w:val="32"/>
          <w:szCs w:val="32"/>
        </w:rPr>
      </w:pPr>
      <w:r>
        <w:fldChar w:fldCharType="begin"/>
      </w:r>
      <w:r>
        <w:instrText xml:space="preserve"> HYPERLINK \l "_Toc275522497" </w:instrText>
      </w:r>
      <w:r>
        <w:fldChar w:fldCharType="separate"/>
      </w:r>
      <w:r>
        <w:rPr>
          <w:rStyle w:val="7"/>
          <w:rFonts w:ascii="仿宋" w:hAnsi="仿宋" w:eastAsia="仿宋"/>
          <w:sz w:val="32"/>
          <w:szCs w:val="32"/>
        </w:rPr>
        <w:t xml:space="preserve">6.1  </w:t>
      </w:r>
      <w:r>
        <w:rPr>
          <w:rStyle w:val="7"/>
          <w:rFonts w:hint="eastAsia" w:ascii="仿宋" w:hAnsi="仿宋" w:eastAsia="仿宋"/>
          <w:sz w:val="32"/>
          <w:szCs w:val="32"/>
        </w:rPr>
        <w:t>上门服务</w:t>
      </w:r>
      <w:r>
        <w:rPr>
          <w:rStyle w:val="7"/>
          <w:rFonts w:ascii="仿宋" w:hAnsi="仿宋" w:eastAsia="仿宋"/>
          <w:sz w:val="32"/>
          <w:szCs w:val="32"/>
        </w:rPr>
        <w:tab/>
      </w:r>
      <w:r>
        <w:rPr>
          <w:rStyle w:val="7"/>
          <w:rFonts w:ascii="仿宋" w:hAnsi="仿宋" w:eastAsia="仿宋"/>
          <w:sz w:val="32"/>
          <w:szCs w:val="32"/>
        </w:rPr>
        <w:fldChar w:fldCharType="end"/>
      </w:r>
    </w:p>
    <w:p>
      <w:pPr>
        <w:rPr>
          <w:rFonts w:ascii="仿宋" w:hAnsi="仿宋" w:eastAsia="仿宋"/>
          <w:sz w:val="32"/>
          <w:szCs w:val="32"/>
        </w:rPr>
      </w:pPr>
      <w:r>
        <w:fldChar w:fldCharType="begin"/>
      </w:r>
      <w:r>
        <w:instrText xml:space="preserve"> HYPERLINK \l "_Toc275522498" </w:instrText>
      </w:r>
      <w:r>
        <w:fldChar w:fldCharType="separate"/>
      </w:r>
      <w:r>
        <w:rPr>
          <w:rStyle w:val="7"/>
          <w:rFonts w:ascii="仿宋" w:hAnsi="仿宋" w:eastAsia="仿宋"/>
          <w:sz w:val="32"/>
          <w:szCs w:val="32"/>
        </w:rPr>
        <w:t xml:space="preserve">6.2  </w:t>
      </w:r>
      <w:r>
        <w:rPr>
          <w:rStyle w:val="7"/>
          <w:rFonts w:hint="eastAsia" w:ascii="仿宋" w:hAnsi="仿宋" w:eastAsia="仿宋"/>
          <w:sz w:val="32"/>
          <w:szCs w:val="32"/>
        </w:rPr>
        <w:t>代办服务</w:t>
      </w:r>
      <w:r>
        <w:rPr>
          <w:rStyle w:val="7"/>
          <w:rFonts w:hint="eastAsia" w:ascii="仿宋" w:hAnsi="仿宋" w:eastAsia="仿宋"/>
          <w:sz w:val="32"/>
          <w:szCs w:val="32"/>
        </w:rPr>
        <w:fldChar w:fldCharType="end"/>
      </w:r>
    </w:p>
    <w:p>
      <w:pPr>
        <w:rPr>
          <w:rFonts w:ascii="仿宋" w:hAnsi="仿宋" w:eastAsia="仿宋"/>
          <w:sz w:val="32"/>
          <w:szCs w:val="32"/>
        </w:rPr>
      </w:pPr>
      <w:r>
        <w:fldChar w:fldCharType="begin"/>
      </w:r>
      <w:r>
        <w:instrText xml:space="preserve"> HYPERLINK \l "_Toc275522499" </w:instrText>
      </w:r>
      <w:r>
        <w:fldChar w:fldCharType="separate"/>
      </w:r>
      <w:r>
        <w:rPr>
          <w:rStyle w:val="7"/>
          <w:rFonts w:ascii="仿宋" w:hAnsi="仿宋" w:eastAsia="仿宋"/>
          <w:sz w:val="32"/>
          <w:szCs w:val="32"/>
        </w:rPr>
        <w:t xml:space="preserve">6.3  </w:t>
      </w:r>
      <w:r>
        <w:rPr>
          <w:rStyle w:val="7"/>
          <w:rFonts w:hint="eastAsia" w:ascii="仿宋" w:hAnsi="仿宋" w:eastAsia="仿宋"/>
          <w:sz w:val="32"/>
          <w:szCs w:val="32"/>
        </w:rPr>
        <w:t>代购服务</w:t>
      </w:r>
      <w:r>
        <w:rPr>
          <w:rStyle w:val="7"/>
          <w:rFonts w:ascii="仿宋" w:hAnsi="仿宋" w:eastAsia="仿宋"/>
          <w:sz w:val="32"/>
          <w:szCs w:val="32"/>
        </w:rPr>
        <w:tab/>
      </w:r>
      <w:r>
        <w:rPr>
          <w:rStyle w:val="7"/>
          <w:rFonts w:ascii="仿宋" w:hAnsi="仿宋" w:eastAsia="仿宋"/>
          <w:sz w:val="32"/>
          <w:szCs w:val="32"/>
        </w:rPr>
        <w:fldChar w:fldCharType="end"/>
      </w:r>
    </w:p>
    <w:p>
      <w:pPr>
        <w:rPr>
          <w:rFonts w:hint="eastAsia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sz w:val="32"/>
          <w:szCs w:val="32"/>
        </w:rPr>
        <w:br w:type="page"/>
      </w:r>
    </w:p>
    <w:p>
      <w:pPr>
        <w:adjustRightInd w:val="0"/>
        <w:snapToGrid w:val="0"/>
        <w:spacing w:line="600" w:lineRule="atLeast"/>
        <w:ind w:firstLine="2850" w:firstLineChars="950"/>
        <w:rPr>
          <w:rFonts w:hint="eastAsia" w:ascii="楷体" w:hAnsi="楷体" w:eastAsia="楷体"/>
          <w:color w:val="000000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1" w:name="_Toc285717412"/>
      <w:r>
        <w:rPr>
          <w:rFonts w:hint="eastAsia" w:asciiTheme="majorEastAsia" w:hAnsiTheme="majorEastAsia" w:eastAsiaTheme="majorEastAsia"/>
          <w:sz w:val="44"/>
          <w:szCs w:val="44"/>
        </w:rPr>
        <w:t>前</w:t>
      </w:r>
      <w:bookmarkStart w:id="2" w:name="BKQY"/>
      <w:r>
        <w:rPr>
          <w:rFonts w:asciiTheme="majorEastAsia" w:eastAsiaTheme="majorEastAsia"/>
          <w:sz w:val="44"/>
          <w:szCs w:val="44"/>
        </w:rPr>
        <w:t>  </w:t>
      </w:r>
      <w:r>
        <w:rPr>
          <w:rFonts w:hint="eastAsia" w:asciiTheme="majorEastAsia" w:hAnsiTheme="majorEastAsia" w:eastAsiaTheme="majorEastAsia"/>
          <w:sz w:val="44"/>
          <w:szCs w:val="44"/>
        </w:rPr>
        <w:t>言</w:t>
      </w:r>
      <w:bookmarkEnd w:id="2"/>
    </w:p>
    <w:p>
      <w:pPr>
        <w:pStyle w:val="13"/>
        <w:ind w:firstLine="640"/>
        <w:rPr>
          <w:rFonts w:hint="eastAsia" w:ascii="仿宋" w:hAnsi="仿宋" w:eastAsia="仿宋"/>
          <w:sz w:val="32"/>
          <w:szCs w:val="32"/>
        </w:rPr>
      </w:pPr>
    </w:p>
    <w:p>
      <w:pPr>
        <w:pStyle w:val="13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规范</w:t>
      </w:r>
      <w:r>
        <w:rPr>
          <w:rFonts w:hint="eastAsia" w:ascii="仿宋" w:hAnsi="仿宋" w:eastAsia="仿宋"/>
          <w:sz w:val="32"/>
          <w:szCs w:val="32"/>
        </w:rPr>
        <w:t>殡葬代理行为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进一步提高殡葬代理服务水平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提供规范有序的殡葬代理服务，推动本市殡葬服务业的健康发展，</w:t>
      </w:r>
      <w:r>
        <w:rPr>
          <w:rFonts w:ascii="仿宋" w:hAnsi="仿宋" w:eastAsia="仿宋"/>
          <w:sz w:val="32"/>
          <w:szCs w:val="32"/>
        </w:rPr>
        <w:t>根据《</w:t>
      </w:r>
      <w:r>
        <w:rPr>
          <w:rFonts w:hint="eastAsia" w:ascii="仿宋" w:hAnsi="仿宋" w:eastAsia="仿宋"/>
          <w:sz w:val="32"/>
          <w:szCs w:val="32"/>
        </w:rPr>
        <w:t>上海市殡葬管理条例</w:t>
      </w:r>
      <w:r>
        <w:rPr>
          <w:rFonts w:ascii="仿宋" w:hAnsi="仿宋" w:eastAsia="仿宋"/>
          <w:sz w:val="32"/>
          <w:szCs w:val="32"/>
        </w:rPr>
        <w:t>》精神，结合本市的实际情况制订本</w:t>
      </w:r>
      <w:r>
        <w:rPr>
          <w:rFonts w:hint="eastAsia" w:ascii="仿宋" w:hAnsi="仿宋" w:eastAsia="仿宋"/>
          <w:sz w:val="32"/>
          <w:szCs w:val="32"/>
        </w:rPr>
        <w:t>标准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3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本标准由上海市民政局提出。</w:t>
      </w:r>
    </w:p>
    <w:p>
      <w:pPr>
        <w:pStyle w:val="13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本标准主要起草单位：上海市民政局殡葬管理处、上海市殡葬行业协会、上海市殡葬服务中心、上海飞思代理中心。</w:t>
      </w:r>
    </w:p>
    <w:p>
      <w:pPr>
        <w:pStyle w:val="13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本标准主要起草人：吕春玲、王宏阶、高建华、史雅民、李亮、赵凤娥。</w:t>
      </w:r>
    </w:p>
    <w:p>
      <w:pPr>
        <w:pStyle w:val="13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本标准参与起草人：宋守勤、孙顺义、黄硕业、应晶晶。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1980" w:firstLineChars="450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殡葬代理服务规范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1.范围</w:t>
      </w:r>
      <w:bookmarkEnd w:id="1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标准</w:t>
      </w:r>
      <w:r>
        <w:rPr>
          <w:rFonts w:ascii="仿宋" w:hAnsi="仿宋" w:eastAsia="仿宋"/>
          <w:sz w:val="32"/>
          <w:szCs w:val="32"/>
        </w:rPr>
        <w:t>规定了</w:t>
      </w:r>
      <w:r>
        <w:rPr>
          <w:rFonts w:hint="eastAsia" w:ascii="仿宋" w:hAnsi="仿宋" w:eastAsia="仿宋"/>
          <w:sz w:val="32"/>
          <w:szCs w:val="32"/>
        </w:rPr>
        <w:t>从事殡葬代理服务行为应具备的开业资质、</w:t>
      </w:r>
      <w:r>
        <w:rPr>
          <w:rFonts w:ascii="仿宋" w:hAnsi="仿宋" w:eastAsia="仿宋"/>
          <w:sz w:val="32"/>
          <w:szCs w:val="32"/>
        </w:rPr>
        <w:t>经营服务场所、设施、环保、安全、经营管理和业务技术的基本要求。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标准</w:t>
      </w:r>
      <w:r>
        <w:rPr>
          <w:rFonts w:ascii="仿宋" w:hAnsi="仿宋" w:eastAsia="仿宋"/>
          <w:sz w:val="32"/>
          <w:szCs w:val="32"/>
        </w:rPr>
        <w:t>适用于本市</w:t>
      </w:r>
      <w:r>
        <w:rPr>
          <w:rFonts w:hint="eastAsia" w:ascii="仿宋" w:hAnsi="仿宋" w:eastAsia="仿宋"/>
          <w:sz w:val="32"/>
          <w:szCs w:val="32"/>
        </w:rPr>
        <w:t>殡葬代理服务行为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 w:ascii="黑体" w:hAnsi="黑体" w:eastAsia="黑体"/>
          <w:sz w:val="32"/>
          <w:szCs w:val="32"/>
        </w:rPr>
      </w:pPr>
      <w:bookmarkStart w:id="3" w:name="_Toc285717413"/>
      <w:r>
        <w:rPr>
          <w:rFonts w:hint="eastAsia" w:ascii="黑体" w:hAnsi="黑体" w:eastAsia="黑体"/>
          <w:sz w:val="32"/>
          <w:szCs w:val="32"/>
        </w:rPr>
        <w:t>2.规范性引用文件</w:t>
      </w:r>
      <w:bookmarkEnd w:id="3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《殡葬管理条例》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《上海市殡葬管理条例》</w:t>
      </w:r>
    </w:p>
    <w:p>
      <w:pPr>
        <w:rPr>
          <w:rFonts w:hint="eastAsia" w:ascii="黑体" w:hAnsi="黑体" w:eastAsia="黑体"/>
          <w:sz w:val="32"/>
          <w:szCs w:val="32"/>
        </w:rPr>
      </w:pPr>
      <w:bookmarkStart w:id="4" w:name="_Toc285717414"/>
      <w:bookmarkEnd w:id="4"/>
      <w:bookmarkStart w:id="5" w:name="_Toc235417559"/>
      <w:bookmarkStart w:id="6" w:name="_Toc275522487"/>
      <w:r>
        <w:rPr>
          <w:rFonts w:hint="eastAsia" w:ascii="黑体" w:hAnsi="黑体" w:eastAsia="黑体"/>
          <w:sz w:val="32"/>
          <w:szCs w:val="32"/>
        </w:rPr>
        <w:t>3.术语和</w:t>
      </w:r>
      <w:r>
        <w:rPr>
          <w:rFonts w:ascii="黑体" w:hAnsi="黑体" w:eastAsia="黑体"/>
          <w:sz w:val="32"/>
          <w:szCs w:val="32"/>
        </w:rPr>
        <w:t>定义</w:t>
      </w:r>
      <w:bookmarkEnd w:id="5"/>
      <w:bookmarkEnd w:id="6"/>
      <w:bookmarkStart w:id="7" w:name="_Toc235417560"/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下列术语和定义适用于本标准。</w:t>
      </w:r>
    </w:p>
    <w:p>
      <w:pPr>
        <w:rPr>
          <w:rFonts w:hint="eastAsia" w:ascii="黑体" w:hAnsi="黑体" w:eastAsia="黑体"/>
          <w:sz w:val="32"/>
          <w:szCs w:val="32"/>
        </w:rPr>
      </w:pPr>
      <w:bookmarkStart w:id="8" w:name="_Toc275522488"/>
      <w:r>
        <w:rPr>
          <w:rFonts w:hint="eastAsia" w:ascii="黑体" w:hAnsi="黑体" w:eastAsia="黑体"/>
          <w:sz w:val="32"/>
          <w:szCs w:val="32"/>
        </w:rPr>
        <w:t>3.1殡葬代理服务</w:t>
      </w:r>
      <w:bookmarkEnd w:id="7"/>
      <w:bookmarkEnd w:id="8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指殡葬服务代理单位以代办人的名义，在其经营范围内，受理丧事承办人委托的业务。</w:t>
      </w:r>
    </w:p>
    <w:p>
      <w:pPr>
        <w:rPr>
          <w:rFonts w:hint="eastAsia" w:ascii="黑体" w:hAnsi="黑体" w:eastAsia="黑体"/>
          <w:sz w:val="32"/>
          <w:szCs w:val="32"/>
        </w:rPr>
      </w:pPr>
      <w:bookmarkStart w:id="9" w:name="_Toc275522489"/>
      <w:bookmarkStart w:id="10" w:name="_Toc235417562"/>
      <w:r>
        <w:rPr>
          <w:rFonts w:hint="eastAsia" w:ascii="黑体" w:hAnsi="黑体" w:eastAsia="黑体"/>
          <w:sz w:val="32"/>
          <w:szCs w:val="32"/>
        </w:rPr>
        <w:t>4.基本要求</w:t>
      </w:r>
      <w:bookmarkEnd w:id="9"/>
    </w:p>
    <w:p>
      <w:pPr>
        <w:rPr>
          <w:rFonts w:hint="eastAsia" w:ascii="黑体" w:hAnsi="黑体" w:eastAsia="黑体"/>
          <w:sz w:val="32"/>
          <w:szCs w:val="32"/>
        </w:rPr>
      </w:pPr>
      <w:bookmarkStart w:id="11" w:name="_Toc275522490"/>
      <w:r>
        <w:rPr>
          <w:rFonts w:hint="eastAsia" w:ascii="黑体" w:hAnsi="黑体" w:eastAsia="黑体"/>
          <w:sz w:val="32"/>
          <w:szCs w:val="32"/>
        </w:rPr>
        <w:t>4.1开业资质要求</w:t>
      </w:r>
      <w:bookmarkEnd w:id="10"/>
      <w:bookmarkEnd w:id="11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12" w:name="_Toc261944969"/>
      <w:r>
        <w:rPr>
          <w:rFonts w:hint="eastAsia" w:ascii="仿宋" w:hAnsi="仿宋" w:eastAsia="仿宋"/>
          <w:sz w:val="32"/>
          <w:szCs w:val="32"/>
        </w:rPr>
        <w:t>4.1.1 殡葬服务代理单位应经相关行政管理部门注册登记</w:t>
      </w:r>
      <w:r>
        <w:rPr>
          <w:rFonts w:ascii="仿宋" w:hAnsi="仿宋" w:eastAsia="仿宋"/>
          <w:sz w:val="32"/>
          <w:szCs w:val="32"/>
        </w:rPr>
        <w:t>。</w:t>
      </w:r>
      <w:bookmarkEnd w:id="12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13" w:name="_Toc261944971"/>
      <w:r>
        <w:rPr>
          <w:rFonts w:hint="eastAsia" w:ascii="仿宋" w:hAnsi="仿宋" w:eastAsia="仿宋"/>
          <w:sz w:val="32"/>
          <w:szCs w:val="32"/>
        </w:rPr>
        <w:t>4.1.2 殡葬服务代理单位应具备适应其服务规模的相应的场所，有独立的办公场所、业务接待场所、仓库等，并符合消防要求</w:t>
      </w:r>
      <w:bookmarkEnd w:id="13"/>
      <w:bookmarkStart w:id="14" w:name="_Toc261944972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4.1.3殡葬服务代理单位应具备相适应的服务设备，包括电话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传真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电脑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复印机等办公设备。</w:t>
      </w:r>
      <w:bookmarkEnd w:id="14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4.1.4殡葬服务代理单位应建立明确有效的业务流程、商品管理、劳动工资、服务档案管理、投诉处理等管理制度。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4.1.5殡葬服务代理单位应有年度培训计划，实行全员培训。</w:t>
      </w:r>
    </w:p>
    <w:p>
      <w:pPr>
        <w:rPr>
          <w:rFonts w:hint="eastAsia" w:ascii="黑体" w:hAnsi="黑体" w:eastAsia="黑体"/>
          <w:sz w:val="32"/>
          <w:szCs w:val="32"/>
        </w:rPr>
      </w:pPr>
      <w:bookmarkStart w:id="15" w:name="_Toc275522491"/>
      <w:bookmarkStart w:id="16" w:name="_Toc235417568"/>
      <w:r>
        <w:rPr>
          <w:rFonts w:hint="eastAsia" w:ascii="黑体" w:hAnsi="黑体" w:eastAsia="黑体"/>
          <w:sz w:val="32"/>
          <w:szCs w:val="32"/>
        </w:rPr>
        <w:t>4.2人员资质要求</w:t>
      </w:r>
      <w:bookmarkEnd w:id="15"/>
      <w:bookmarkEnd w:id="16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17" w:name="_Toc235417569"/>
      <w:bookmarkStart w:id="18" w:name="_Toc208826839"/>
      <w:r>
        <w:rPr>
          <w:rFonts w:hint="eastAsia" w:ascii="仿宋" w:hAnsi="仿宋" w:eastAsia="仿宋"/>
          <w:sz w:val="32"/>
          <w:szCs w:val="32"/>
        </w:rPr>
        <w:t>4.2.1殡葬服务代理单位法定代表人应遵守《上海市殡葬管理条例》和相关政策法规，应取得法定代表人上岗证书。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4.2.2从业人员应具有完全民事行为能力，接受相关专业知识和技能的培训，持证上岗。</w:t>
      </w:r>
    </w:p>
    <w:bookmarkEnd w:id="17"/>
    <w:bookmarkEnd w:id="18"/>
    <w:p>
      <w:pPr>
        <w:rPr>
          <w:rFonts w:hint="eastAsia" w:ascii="黑体" w:hAnsi="黑体" w:eastAsia="黑体"/>
          <w:sz w:val="32"/>
          <w:szCs w:val="32"/>
        </w:rPr>
      </w:pPr>
      <w:bookmarkStart w:id="19" w:name="_Toc110364414"/>
      <w:bookmarkStart w:id="20" w:name="_Toc235417572"/>
      <w:bookmarkStart w:id="21" w:name="_Toc275522492"/>
      <w:r>
        <w:rPr>
          <w:rFonts w:hint="eastAsia" w:ascii="黑体" w:hAnsi="黑体" w:eastAsia="黑体"/>
          <w:sz w:val="32"/>
          <w:szCs w:val="32"/>
        </w:rPr>
        <w:t>5.</w:t>
      </w:r>
      <w:r>
        <w:rPr>
          <w:rFonts w:ascii="黑体" w:hAnsi="黑体" w:eastAsia="黑体"/>
          <w:sz w:val="32"/>
          <w:szCs w:val="32"/>
        </w:rPr>
        <w:t>服务要求</w:t>
      </w:r>
      <w:bookmarkEnd w:id="19"/>
      <w:bookmarkEnd w:id="20"/>
      <w:bookmarkEnd w:id="21"/>
      <w:r>
        <w:rPr>
          <w:rFonts w:hint="eastAsia" w:ascii="黑体" w:hAnsi="黑体" w:eastAsia="黑体"/>
          <w:sz w:val="32"/>
          <w:szCs w:val="32"/>
        </w:rPr>
        <w:t xml:space="preserve"> </w:t>
      </w:r>
      <w:bookmarkStart w:id="22" w:name="_Toc110364415"/>
    </w:p>
    <w:p>
      <w:pPr>
        <w:rPr>
          <w:rFonts w:hint="eastAsia" w:ascii="黑体" w:hAnsi="黑体" w:eastAsia="黑体"/>
          <w:sz w:val="32"/>
          <w:szCs w:val="32"/>
        </w:rPr>
      </w:pPr>
      <w:bookmarkStart w:id="23" w:name="_Toc275522493"/>
      <w:r>
        <w:rPr>
          <w:rFonts w:hint="eastAsia" w:ascii="黑体" w:hAnsi="黑体" w:eastAsia="黑体"/>
          <w:sz w:val="32"/>
          <w:szCs w:val="32"/>
        </w:rPr>
        <w:t>5.1服务基本要求</w:t>
      </w:r>
      <w:bookmarkEnd w:id="23"/>
    </w:p>
    <w:bookmarkEnd w:id="22"/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5.1.1</w:t>
      </w:r>
      <w:r>
        <w:rPr>
          <w:rFonts w:ascii="仿宋" w:hAnsi="仿宋" w:eastAsia="仿宋"/>
          <w:sz w:val="32"/>
          <w:szCs w:val="32"/>
        </w:rPr>
        <w:t>遵守国家法律、法规，</w:t>
      </w:r>
      <w:r>
        <w:rPr>
          <w:rFonts w:hint="eastAsia" w:ascii="仿宋" w:hAnsi="仿宋" w:eastAsia="仿宋"/>
          <w:sz w:val="32"/>
          <w:szCs w:val="32"/>
        </w:rPr>
        <w:t>不得损害丧家</w:t>
      </w:r>
      <w:r>
        <w:rPr>
          <w:rFonts w:ascii="仿宋" w:hAnsi="仿宋" w:eastAsia="仿宋"/>
          <w:sz w:val="32"/>
          <w:szCs w:val="32"/>
        </w:rPr>
        <w:t>合法权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5.1.2倡导科学，反对迷信，尊重民族习俗和宗教信仰。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5.1.3文明待客，诚实守信，遵守殡葬服务单位相应的规章制度。</w:t>
      </w:r>
      <w:bookmarkStart w:id="24" w:name="_Toc110364416"/>
    </w:p>
    <w:p>
      <w:pPr>
        <w:rPr>
          <w:rFonts w:hint="eastAsia" w:ascii="黑体" w:hAnsi="黑体" w:eastAsia="黑体"/>
          <w:sz w:val="32"/>
          <w:szCs w:val="32"/>
        </w:rPr>
      </w:pPr>
      <w:bookmarkStart w:id="25" w:name="_Toc275522494"/>
      <w:bookmarkStart w:id="26" w:name="_Toc235417574"/>
      <w:bookmarkStart w:id="27" w:name="_Toc208826844"/>
      <w:r>
        <w:rPr>
          <w:rFonts w:hint="eastAsia" w:ascii="黑体" w:hAnsi="黑体" w:eastAsia="黑体"/>
          <w:sz w:val="32"/>
          <w:szCs w:val="32"/>
        </w:rPr>
        <w:t>5.2从业人员服务</w:t>
      </w:r>
      <w:r>
        <w:rPr>
          <w:rFonts w:ascii="黑体" w:hAnsi="黑体" w:eastAsia="黑体"/>
          <w:sz w:val="32"/>
          <w:szCs w:val="32"/>
        </w:rPr>
        <w:t>要求</w:t>
      </w:r>
      <w:bookmarkEnd w:id="24"/>
      <w:bookmarkEnd w:id="25"/>
      <w:bookmarkEnd w:id="26"/>
      <w:bookmarkEnd w:id="27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5.2.1持证上岗，亮证服务。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5.2.2掌握相应的业务知识和技能，并能熟练应用。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5.2.3遵守殡葬服务代理职业道德，不泄露丧家隐私和家庭信息情况。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5.2.4按照约定时间准时上门服务，认真接待每一位客户，耐心细致，不与丧家争执。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5.2.5统一服装，</w:t>
      </w:r>
      <w:r>
        <w:rPr>
          <w:rFonts w:ascii="仿宋" w:hAnsi="仿宋" w:eastAsia="仿宋"/>
          <w:sz w:val="32"/>
          <w:szCs w:val="32"/>
        </w:rPr>
        <w:t>仪容仪表端庄、大方、整洁。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5.2.6</w:t>
      </w:r>
      <w:r>
        <w:rPr>
          <w:rFonts w:ascii="仿宋" w:hAnsi="仿宋" w:eastAsia="仿宋"/>
          <w:sz w:val="32"/>
          <w:szCs w:val="32"/>
        </w:rPr>
        <w:t>表情自然、和蔼、亲切。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5.2.7</w:t>
      </w:r>
      <w:r>
        <w:rPr>
          <w:rFonts w:ascii="仿宋" w:hAnsi="仿宋" w:eastAsia="仿宋"/>
          <w:sz w:val="32"/>
          <w:szCs w:val="32"/>
        </w:rPr>
        <w:t>语言文明、礼貌、清晰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提倡讲普通话</w:t>
      </w:r>
      <w:r>
        <w:rPr>
          <w:rFonts w:hint="eastAsia" w:ascii="仿宋" w:hAnsi="仿宋" w:eastAsia="仿宋"/>
          <w:sz w:val="32"/>
          <w:szCs w:val="32"/>
        </w:rPr>
        <w:t>，熟悉行业礼貌用语，不讲行业忌语。</w:t>
      </w:r>
    </w:p>
    <w:p>
      <w:pPr>
        <w:rPr>
          <w:rFonts w:hint="eastAsia" w:ascii="黑体" w:hAnsi="黑体" w:eastAsia="黑体"/>
          <w:sz w:val="32"/>
          <w:szCs w:val="32"/>
        </w:rPr>
      </w:pPr>
      <w:bookmarkStart w:id="28" w:name="_Toc275522495"/>
      <w:r>
        <w:rPr>
          <w:rFonts w:hint="eastAsia" w:ascii="黑体" w:hAnsi="黑体" w:eastAsia="黑体"/>
          <w:sz w:val="32"/>
          <w:szCs w:val="32"/>
        </w:rPr>
        <w:t>5.3殡葬服务代理单位服务要求</w:t>
      </w:r>
      <w:bookmarkEnd w:id="28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5.3.1提供24小时全天候上门服务。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5.3.2免费接受丧事咨询。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5.3.3服务项目、服务指南、收费项目、收费标准应予以公示。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5.3.4公示监督和投诉电话、上岗证书及查验网站。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5.3.5出示殡仪馆业务项目价目表，介绍服务项目和丧事流程。</w:t>
      </w:r>
    </w:p>
    <w:p>
      <w:pPr>
        <w:ind w:left="420" w:leftChars="200" w:firstLine="160" w:firstLineChars="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5.3.6应向丧家介绍商品和服务的品种、价格、特点、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质量保证等事项，不诱购、劝购，不强卖。丧家确认服务项目后，应与丧家签订丧事办理委托书和合同。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5.3.7提供策划丧事服务，合理收取丧事服务费用。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5.3.8代办骨灰寄存的，仅限于承办丧事的殡仪馆寄存或殡仪馆指定的场所。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5.3.9为丧家代购的殡葬用品应具有生产厂家名称、生产日期和生产地址，所用材料和商品铭牌必须一致；代购的配套服务商品应符合国家和行业有关规定或质量标准。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5.3.10所有服务和商品应开具发票，发票内容应如实填写。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5.3.11服务结束后，应请丧家对服务进行评价，并记录在案。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5.3.12按有关规定建立代理服务相关资料档案。</w:t>
      </w:r>
    </w:p>
    <w:p>
      <w:pPr>
        <w:rPr>
          <w:rFonts w:hint="eastAsia" w:ascii="黑体" w:hAnsi="黑体" w:eastAsia="黑体"/>
          <w:sz w:val="32"/>
          <w:szCs w:val="32"/>
        </w:rPr>
      </w:pPr>
      <w:bookmarkStart w:id="29" w:name="_Toc235417576"/>
      <w:bookmarkStart w:id="30" w:name="_Toc275522496"/>
      <w:r>
        <w:rPr>
          <w:rFonts w:hint="eastAsia" w:ascii="黑体" w:hAnsi="黑体" w:eastAsia="黑体"/>
          <w:sz w:val="32"/>
          <w:szCs w:val="32"/>
        </w:rPr>
        <w:t>6.殡葬代理服务内容</w:t>
      </w:r>
      <w:bookmarkEnd w:id="29"/>
      <w:bookmarkEnd w:id="30"/>
    </w:p>
    <w:p>
      <w:pPr>
        <w:rPr>
          <w:rFonts w:hint="eastAsia" w:ascii="黑体" w:hAnsi="黑体" w:eastAsia="黑体"/>
          <w:sz w:val="32"/>
          <w:szCs w:val="32"/>
        </w:rPr>
      </w:pPr>
      <w:bookmarkStart w:id="31" w:name="_Toc235417577"/>
      <w:bookmarkStart w:id="32" w:name="_Toc275522497"/>
      <w:r>
        <w:rPr>
          <w:rFonts w:hint="eastAsia" w:ascii="黑体" w:hAnsi="黑体" w:eastAsia="黑体"/>
          <w:sz w:val="32"/>
          <w:szCs w:val="32"/>
        </w:rPr>
        <w:t>6.1上门服务</w:t>
      </w:r>
      <w:bookmarkEnd w:id="31"/>
      <w:bookmarkEnd w:id="32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6.1.1上门服务项目：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--提供项目咨询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--洽商代理事项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--签订服务合同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--家庭灵堂布置 </w:t>
      </w:r>
    </w:p>
    <w:p>
      <w:pPr>
        <w:rPr>
          <w:rFonts w:hint="eastAsia" w:ascii="黑体" w:hAnsi="黑体" w:eastAsia="黑体"/>
          <w:sz w:val="32"/>
          <w:szCs w:val="32"/>
        </w:rPr>
      </w:pPr>
      <w:bookmarkStart w:id="33" w:name="_Toc275522498"/>
      <w:bookmarkStart w:id="34" w:name="_Toc235417578"/>
      <w:r>
        <w:rPr>
          <w:rFonts w:hint="eastAsia" w:ascii="黑体" w:hAnsi="黑体" w:eastAsia="黑体"/>
          <w:sz w:val="32"/>
          <w:szCs w:val="32"/>
        </w:rPr>
        <w:t>6. 2代办服务</w:t>
      </w:r>
      <w:bookmarkEnd w:id="33"/>
      <w:bookmarkEnd w:id="34"/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6.2.1代办服务项目：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--租借丧事用车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--预定追悼会礼厅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--办理丧家委托的其它业务</w:t>
      </w:r>
    </w:p>
    <w:p>
      <w:pPr>
        <w:rPr>
          <w:rFonts w:hint="eastAsia" w:ascii="黑体" w:hAnsi="黑体" w:eastAsia="黑体"/>
          <w:sz w:val="32"/>
          <w:szCs w:val="32"/>
        </w:rPr>
      </w:pPr>
      <w:bookmarkStart w:id="35" w:name="_Toc275522499"/>
      <w:r>
        <w:rPr>
          <w:rFonts w:hint="eastAsia" w:ascii="黑体" w:hAnsi="黑体" w:eastAsia="黑体"/>
          <w:sz w:val="32"/>
          <w:szCs w:val="32"/>
        </w:rPr>
        <w:t>6.3代购服务</w:t>
      </w:r>
      <w:bookmarkEnd w:id="35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代购服务应根据丧家需求，确定寿衣、骨灰盒、祭奠用品、花篮等丧葬用品。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60B"/>
    <w:rsid w:val="002D760B"/>
    <w:rsid w:val="00B31EBB"/>
    <w:rsid w:val="00E50A39"/>
    <w:rsid w:val="00FD20B9"/>
    <w:rsid w:val="06097BDC"/>
    <w:rsid w:val="5D70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oc 1"/>
    <w:basedOn w:val="1"/>
    <w:next w:val="1"/>
    <w:semiHidden/>
    <w:qFormat/>
    <w:uiPriority w:val="0"/>
    <w:pPr>
      <w:tabs>
        <w:tab w:val="right" w:leader="dot" w:pos="9135"/>
      </w:tabs>
      <w:spacing w:beforeLines="25" w:afterLines="25"/>
      <w:jc w:val="left"/>
    </w:pPr>
    <w:rPr>
      <w:rFonts w:ascii="宋体"/>
      <w:szCs w:val="21"/>
    </w:rPr>
  </w:style>
  <w:style w:type="character" w:styleId="7">
    <w:name w:val="Hyperlink"/>
    <w:basedOn w:val="6"/>
    <w:uiPriority w:val="0"/>
    <w:rPr>
      <w:color w:val="0000FF"/>
      <w:spacing w:val="0"/>
      <w:w w:val="100"/>
      <w:szCs w:val="21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目次、标准名称标题"/>
    <w:basedOn w:val="1"/>
    <w:next w:val="1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1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12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kern w:val="0"/>
      <w:sz w:val="48"/>
      <w:szCs w:val="52"/>
      <w:lang w:val="en-US" w:eastAsia="zh-CN" w:bidi="ar-SA"/>
    </w:rPr>
  </w:style>
  <w:style w:type="paragraph" w:customStyle="1" w:styleId="13">
    <w:name w:val="段"/>
    <w:link w:val="14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4">
    <w:name w:val="段 Char"/>
    <w:basedOn w:val="6"/>
    <w:link w:val="13"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408</Words>
  <Characters>2326</Characters>
  <Lines>19</Lines>
  <Paragraphs>5</Paragraphs>
  <TotalTime>14</TotalTime>
  <ScaleCrop>false</ScaleCrop>
  <LinksUpToDate>false</LinksUpToDate>
  <CharactersWithSpaces>2729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2019-08-06T02:09:00Z</dcterms:created>
  <dc:creator>LENOVO</dc:creator>
  <cp:lastModifiedBy>小二1415013280</cp:lastModifiedBy>
  <dcterms:modified xsi:type="dcterms:W3CDTF">2019-08-08T08:23:09Z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